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pPr>
      <w:r>
        <w:rPr>
          <w:rFonts w:hint="eastAsia"/>
        </w:rPr>
        <w:t>企业质量管理浅析</w:t>
      </w:r>
    </w:p>
    <w:p>
      <w:pPr>
        <w:pStyle w:val="6"/>
        <w:keepNext w:val="0"/>
        <w:keepLines w:val="0"/>
        <w:pageBreakBefore w:val="0"/>
        <w:tabs>
          <w:tab w:val="right" w:leader="dot" w:pos="9582"/>
        </w:tabs>
        <w:kinsoku/>
        <w:wordWrap/>
        <w:overflowPunct/>
        <w:topLinePunct w:val="0"/>
        <w:autoSpaceDE/>
        <w:autoSpaceDN/>
        <w:bidi w:val="0"/>
        <w:adjustRightInd/>
        <w:snapToGrid/>
        <w:spacing w:line="720" w:lineRule="auto"/>
        <w:textAlignment w:val="auto"/>
        <w:rPr>
          <w:sz w:val="32"/>
          <w:szCs w:val="32"/>
        </w:rPr>
      </w:pPr>
      <w:r>
        <w:rPr>
          <w:sz w:val="32"/>
          <w:szCs w:val="32"/>
        </w:rPr>
        <w:fldChar w:fldCharType="begin"/>
      </w:r>
      <w:r>
        <w:rPr>
          <w:sz w:val="32"/>
          <w:szCs w:val="32"/>
        </w:rPr>
        <w:instrText xml:space="preserve">TOC \o "2-2" \h \u </w:instrText>
      </w:r>
      <w:r>
        <w:rPr>
          <w:sz w:val="32"/>
          <w:szCs w:val="32"/>
        </w:rPr>
        <w:fldChar w:fldCharType="separate"/>
      </w:r>
      <w:r>
        <w:rPr>
          <w:sz w:val="32"/>
          <w:szCs w:val="32"/>
        </w:rPr>
        <w:fldChar w:fldCharType="begin"/>
      </w:r>
      <w:r>
        <w:rPr>
          <w:sz w:val="32"/>
          <w:szCs w:val="32"/>
        </w:rPr>
        <w:instrText xml:space="preserve"> HYPERLINK \l _Toc3916 </w:instrText>
      </w:r>
      <w:r>
        <w:rPr>
          <w:sz w:val="32"/>
          <w:szCs w:val="32"/>
        </w:rPr>
        <w:fldChar w:fldCharType="separate"/>
      </w:r>
      <w:r>
        <w:rPr>
          <w:rFonts w:hint="eastAsia"/>
          <w:sz w:val="32"/>
          <w:szCs w:val="32"/>
        </w:rPr>
        <w:t>一、质量工作意识是提升组织发展品质的前提</w:t>
      </w:r>
      <w:r>
        <w:rPr>
          <w:sz w:val="32"/>
          <w:szCs w:val="32"/>
        </w:rPr>
        <w:tab/>
      </w:r>
      <w:r>
        <w:rPr>
          <w:sz w:val="32"/>
          <w:szCs w:val="32"/>
        </w:rPr>
        <w:fldChar w:fldCharType="begin"/>
      </w:r>
      <w:r>
        <w:rPr>
          <w:sz w:val="32"/>
          <w:szCs w:val="32"/>
        </w:rPr>
        <w:instrText xml:space="preserve"> PAGEREF _Toc3916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6"/>
        <w:keepNext w:val="0"/>
        <w:keepLines w:val="0"/>
        <w:pageBreakBefore w:val="0"/>
        <w:tabs>
          <w:tab w:val="right" w:leader="dot" w:pos="9582"/>
        </w:tabs>
        <w:kinsoku/>
        <w:wordWrap/>
        <w:overflowPunct/>
        <w:topLinePunct w:val="0"/>
        <w:autoSpaceDE/>
        <w:autoSpaceDN/>
        <w:bidi w:val="0"/>
        <w:adjustRightInd/>
        <w:snapToGrid/>
        <w:spacing w:line="720" w:lineRule="auto"/>
        <w:textAlignment w:val="auto"/>
        <w:rPr>
          <w:sz w:val="32"/>
          <w:szCs w:val="32"/>
        </w:rPr>
      </w:pPr>
      <w:r>
        <w:rPr>
          <w:sz w:val="32"/>
          <w:szCs w:val="32"/>
        </w:rPr>
        <w:fldChar w:fldCharType="begin"/>
      </w:r>
      <w:r>
        <w:rPr>
          <w:sz w:val="32"/>
          <w:szCs w:val="32"/>
        </w:rPr>
        <w:instrText xml:space="preserve"> HYPERLINK \l _Toc6061 </w:instrText>
      </w:r>
      <w:r>
        <w:rPr>
          <w:sz w:val="32"/>
          <w:szCs w:val="32"/>
        </w:rPr>
        <w:fldChar w:fldCharType="separate"/>
      </w:r>
      <w:r>
        <w:rPr>
          <w:rFonts w:hint="eastAsia"/>
          <w:sz w:val="32"/>
          <w:szCs w:val="32"/>
        </w:rPr>
        <w:t>二、持续改进工作常态化</w:t>
      </w:r>
      <w:r>
        <w:rPr>
          <w:sz w:val="32"/>
          <w:szCs w:val="32"/>
        </w:rPr>
        <w:tab/>
      </w:r>
      <w:r>
        <w:rPr>
          <w:sz w:val="32"/>
          <w:szCs w:val="32"/>
        </w:rPr>
        <w:fldChar w:fldCharType="begin"/>
      </w:r>
      <w:r>
        <w:rPr>
          <w:sz w:val="32"/>
          <w:szCs w:val="32"/>
        </w:rPr>
        <w:instrText xml:space="preserve"> PAGEREF _Toc6061 </w:instrText>
      </w:r>
      <w:r>
        <w:rPr>
          <w:sz w:val="32"/>
          <w:szCs w:val="32"/>
        </w:rPr>
        <w:fldChar w:fldCharType="separate"/>
      </w:r>
      <w:r>
        <w:rPr>
          <w:sz w:val="32"/>
          <w:szCs w:val="32"/>
        </w:rPr>
        <w:t>2</w:t>
      </w:r>
      <w:r>
        <w:rPr>
          <w:sz w:val="32"/>
          <w:szCs w:val="32"/>
        </w:rPr>
        <w:fldChar w:fldCharType="end"/>
      </w:r>
      <w:r>
        <w:rPr>
          <w:sz w:val="32"/>
          <w:szCs w:val="32"/>
        </w:rPr>
        <w:fldChar w:fldCharType="end"/>
      </w:r>
    </w:p>
    <w:p>
      <w:pPr>
        <w:pStyle w:val="6"/>
        <w:keepNext w:val="0"/>
        <w:keepLines w:val="0"/>
        <w:pageBreakBefore w:val="0"/>
        <w:tabs>
          <w:tab w:val="right" w:leader="dot" w:pos="9582"/>
        </w:tabs>
        <w:kinsoku/>
        <w:wordWrap/>
        <w:overflowPunct/>
        <w:topLinePunct w:val="0"/>
        <w:autoSpaceDE/>
        <w:autoSpaceDN/>
        <w:bidi w:val="0"/>
        <w:adjustRightInd/>
        <w:snapToGrid/>
        <w:spacing w:line="720" w:lineRule="auto"/>
        <w:textAlignment w:val="auto"/>
        <w:rPr>
          <w:sz w:val="32"/>
          <w:szCs w:val="32"/>
        </w:rPr>
      </w:pPr>
      <w:r>
        <w:rPr>
          <w:sz w:val="32"/>
          <w:szCs w:val="32"/>
        </w:rPr>
        <w:fldChar w:fldCharType="begin"/>
      </w:r>
      <w:r>
        <w:rPr>
          <w:sz w:val="32"/>
          <w:szCs w:val="32"/>
        </w:rPr>
        <w:instrText xml:space="preserve"> HYPERLINK \l _Toc26177 </w:instrText>
      </w:r>
      <w:r>
        <w:rPr>
          <w:sz w:val="32"/>
          <w:szCs w:val="32"/>
        </w:rPr>
        <w:fldChar w:fldCharType="separate"/>
      </w:r>
      <w:r>
        <w:rPr>
          <w:rFonts w:hint="eastAsia"/>
          <w:sz w:val="32"/>
          <w:szCs w:val="32"/>
        </w:rPr>
        <w:t>三、QC 小组</w:t>
      </w:r>
      <w:r>
        <w:rPr>
          <w:sz w:val="32"/>
          <w:szCs w:val="32"/>
        </w:rPr>
        <w:tab/>
      </w:r>
      <w:r>
        <w:rPr>
          <w:sz w:val="32"/>
          <w:szCs w:val="32"/>
        </w:rPr>
        <w:fldChar w:fldCharType="begin"/>
      </w:r>
      <w:r>
        <w:rPr>
          <w:sz w:val="32"/>
          <w:szCs w:val="32"/>
        </w:rPr>
        <w:instrText xml:space="preserve"> PAGEREF _Toc26177 </w:instrText>
      </w:r>
      <w:r>
        <w:rPr>
          <w:sz w:val="32"/>
          <w:szCs w:val="32"/>
        </w:rPr>
        <w:fldChar w:fldCharType="separate"/>
      </w:r>
      <w:r>
        <w:rPr>
          <w:sz w:val="32"/>
          <w:szCs w:val="32"/>
        </w:rPr>
        <w:t>2</w:t>
      </w:r>
      <w:r>
        <w:rPr>
          <w:sz w:val="32"/>
          <w:szCs w:val="32"/>
        </w:rPr>
        <w:fldChar w:fldCharType="end"/>
      </w:r>
      <w:r>
        <w:rPr>
          <w:sz w:val="32"/>
          <w:szCs w:val="32"/>
        </w:rPr>
        <w:fldChar w:fldCharType="end"/>
      </w:r>
    </w:p>
    <w:p>
      <w:pPr>
        <w:pStyle w:val="6"/>
        <w:keepNext w:val="0"/>
        <w:keepLines w:val="0"/>
        <w:pageBreakBefore w:val="0"/>
        <w:tabs>
          <w:tab w:val="right" w:leader="dot" w:pos="9582"/>
        </w:tabs>
        <w:kinsoku/>
        <w:wordWrap/>
        <w:overflowPunct/>
        <w:topLinePunct w:val="0"/>
        <w:autoSpaceDE/>
        <w:autoSpaceDN/>
        <w:bidi w:val="0"/>
        <w:adjustRightInd/>
        <w:snapToGrid/>
        <w:spacing w:line="720" w:lineRule="auto"/>
        <w:textAlignment w:val="auto"/>
        <w:rPr>
          <w:sz w:val="32"/>
          <w:szCs w:val="32"/>
        </w:rPr>
      </w:pPr>
      <w:r>
        <w:rPr>
          <w:sz w:val="32"/>
          <w:szCs w:val="32"/>
        </w:rPr>
        <w:fldChar w:fldCharType="begin"/>
      </w:r>
      <w:r>
        <w:rPr>
          <w:sz w:val="32"/>
          <w:szCs w:val="32"/>
        </w:rPr>
        <w:instrText xml:space="preserve"> HYPERLINK \l _Toc29130 </w:instrText>
      </w:r>
      <w:r>
        <w:rPr>
          <w:sz w:val="32"/>
          <w:szCs w:val="32"/>
        </w:rPr>
        <w:fldChar w:fldCharType="separate"/>
      </w:r>
      <w:r>
        <w:rPr>
          <w:rFonts w:hint="eastAsia"/>
          <w:sz w:val="32"/>
          <w:szCs w:val="32"/>
        </w:rPr>
        <w:t>四、产品信息化</w:t>
      </w:r>
      <w:r>
        <w:rPr>
          <w:sz w:val="32"/>
          <w:szCs w:val="32"/>
        </w:rPr>
        <w:tab/>
      </w:r>
      <w:r>
        <w:rPr>
          <w:sz w:val="32"/>
          <w:szCs w:val="32"/>
        </w:rPr>
        <w:fldChar w:fldCharType="begin"/>
      </w:r>
      <w:r>
        <w:rPr>
          <w:sz w:val="32"/>
          <w:szCs w:val="32"/>
        </w:rPr>
        <w:instrText xml:space="preserve"> PAGEREF _Toc29130 </w:instrText>
      </w:r>
      <w:r>
        <w:rPr>
          <w:sz w:val="32"/>
          <w:szCs w:val="32"/>
        </w:rPr>
        <w:fldChar w:fldCharType="separate"/>
      </w:r>
      <w:r>
        <w:rPr>
          <w:sz w:val="32"/>
          <w:szCs w:val="32"/>
        </w:rPr>
        <w:t>3</w:t>
      </w:r>
      <w:r>
        <w:rPr>
          <w:sz w:val="32"/>
          <w:szCs w:val="32"/>
        </w:rPr>
        <w:fldChar w:fldCharType="end"/>
      </w:r>
      <w:r>
        <w:rPr>
          <w:sz w:val="32"/>
          <w:szCs w:val="32"/>
        </w:rPr>
        <w:fldChar w:fldCharType="end"/>
      </w:r>
    </w:p>
    <w:p>
      <w:pPr>
        <w:pStyle w:val="6"/>
        <w:keepNext w:val="0"/>
        <w:keepLines w:val="0"/>
        <w:pageBreakBefore w:val="0"/>
        <w:tabs>
          <w:tab w:val="right" w:leader="dot" w:pos="9582"/>
        </w:tabs>
        <w:kinsoku/>
        <w:wordWrap/>
        <w:overflowPunct/>
        <w:topLinePunct w:val="0"/>
        <w:autoSpaceDE/>
        <w:autoSpaceDN/>
        <w:bidi w:val="0"/>
        <w:adjustRightInd/>
        <w:snapToGrid/>
        <w:spacing w:line="720" w:lineRule="auto"/>
        <w:textAlignment w:val="auto"/>
        <w:rPr>
          <w:sz w:val="32"/>
          <w:szCs w:val="32"/>
        </w:rPr>
      </w:pPr>
      <w:r>
        <w:rPr>
          <w:sz w:val="32"/>
          <w:szCs w:val="32"/>
        </w:rPr>
        <w:fldChar w:fldCharType="begin"/>
      </w:r>
      <w:r>
        <w:rPr>
          <w:sz w:val="32"/>
          <w:szCs w:val="32"/>
        </w:rPr>
        <w:instrText xml:space="preserve"> HYPERLINK \l _Toc7696 </w:instrText>
      </w:r>
      <w:r>
        <w:rPr>
          <w:sz w:val="32"/>
          <w:szCs w:val="32"/>
        </w:rPr>
        <w:fldChar w:fldCharType="separate"/>
      </w:r>
      <w:r>
        <w:rPr>
          <w:rFonts w:hint="eastAsia"/>
          <w:sz w:val="32"/>
          <w:szCs w:val="32"/>
        </w:rPr>
        <w:t>五、六西格玛质量管理理论及应用</w:t>
      </w:r>
      <w:r>
        <w:rPr>
          <w:sz w:val="32"/>
          <w:szCs w:val="32"/>
        </w:rPr>
        <w:tab/>
      </w:r>
      <w:r>
        <w:rPr>
          <w:sz w:val="32"/>
          <w:szCs w:val="32"/>
        </w:rPr>
        <w:fldChar w:fldCharType="begin"/>
      </w:r>
      <w:r>
        <w:rPr>
          <w:sz w:val="32"/>
          <w:szCs w:val="32"/>
        </w:rPr>
        <w:instrText xml:space="preserve"> PAGEREF _Toc7696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6"/>
        <w:keepNext w:val="0"/>
        <w:keepLines w:val="0"/>
        <w:pageBreakBefore w:val="0"/>
        <w:tabs>
          <w:tab w:val="right" w:leader="dot" w:pos="9582"/>
        </w:tabs>
        <w:kinsoku/>
        <w:wordWrap/>
        <w:overflowPunct/>
        <w:topLinePunct w:val="0"/>
        <w:autoSpaceDE/>
        <w:autoSpaceDN/>
        <w:bidi w:val="0"/>
        <w:adjustRightInd/>
        <w:snapToGrid/>
        <w:spacing w:line="720" w:lineRule="auto"/>
        <w:textAlignment w:val="auto"/>
        <w:rPr>
          <w:sz w:val="32"/>
          <w:szCs w:val="32"/>
        </w:rPr>
      </w:pPr>
      <w:r>
        <w:rPr>
          <w:sz w:val="32"/>
          <w:szCs w:val="32"/>
        </w:rPr>
        <w:fldChar w:fldCharType="begin"/>
      </w:r>
      <w:r>
        <w:rPr>
          <w:sz w:val="32"/>
          <w:szCs w:val="32"/>
        </w:rPr>
        <w:instrText xml:space="preserve"> HYPERLINK \l _Toc20109 </w:instrText>
      </w:r>
      <w:r>
        <w:rPr>
          <w:sz w:val="32"/>
          <w:szCs w:val="32"/>
        </w:rPr>
        <w:fldChar w:fldCharType="separate"/>
      </w:r>
      <w:r>
        <w:rPr>
          <w:rFonts w:hint="eastAsia"/>
          <w:sz w:val="32"/>
          <w:szCs w:val="32"/>
        </w:rPr>
        <w:t>六、结束语</w:t>
      </w:r>
      <w:r>
        <w:rPr>
          <w:sz w:val="32"/>
          <w:szCs w:val="32"/>
        </w:rPr>
        <w:tab/>
      </w:r>
      <w:r>
        <w:rPr>
          <w:sz w:val="32"/>
          <w:szCs w:val="32"/>
        </w:rPr>
        <w:fldChar w:fldCharType="begin"/>
      </w:r>
      <w:r>
        <w:rPr>
          <w:sz w:val="32"/>
          <w:szCs w:val="32"/>
        </w:rPr>
        <w:instrText xml:space="preserve"> PAGEREF _Toc20109 </w:instrText>
      </w:r>
      <w:r>
        <w:rPr>
          <w:sz w:val="32"/>
          <w:szCs w:val="32"/>
        </w:rPr>
        <w:fldChar w:fldCharType="separate"/>
      </w:r>
      <w:r>
        <w:rPr>
          <w:sz w:val="32"/>
          <w:szCs w:val="32"/>
        </w:rPr>
        <w:t>8</w:t>
      </w:r>
      <w:r>
        <w:rPr>
          <w:sz w:val="32"/>
          <w:szCs w:val="32"/>
        </w:rPr>
        <w:fldChar w:fldCharType="end"/>
      </w:r>
      <w:r>
        <w:rPr>
          <w:sz w:val="32"/>
          <w:szCs w:val="32"/>
        </w:rPr>
        <w:fldChar w:fldCharType="end"/>
      </w:r>
    </w:p>
    <w:p>
      <w:pPr>
        <w:keepNext w:val="0"/>
        <w:keepLines w:val="0"/>
        <w:pageBreakBefore w:val="0"/>
        <w:kinsoku/>
        <w:wordWrap/>
        <w:overflowPunct/>
        <w:topLinePunct w:val="0"/>
        <w:autoSpaceDE/>
        <w:autoSpaceDN/>
        <w:bidi w:val="0"/>
        <w:adjustRightInd/>
        <w:snapToGrid/>
        <w:spacing w:line="720" w:lineRule="auto"/>
        <w:textAlignment w:val="auto"/>
      </w:pPr>
      <w:r>
        <w:rPr>
          <w:sz w:val="32"/>
          <w:szCs w:val="32"/>
        </w:rPr>
        <w:fldChar w:fldCharType="end"/>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sz w:val="28"/>
        </w:rPr>
        <w:sectPr>
          <w:headerReference r:id="rId4" w:type="first"/>
          <w:headerReference r:id="rId3" w:type="default"/>
          <w:footerReference r:id="rId5" w:type="default"/>
          <w:pgSz w:w="11850" w:h="16783"/>
          <w:pgMar w:top="1304" w:right="1134" w:bottom="1304" w:left="1134" w:header="851" w:footer="992" w:gutter="0"/>
          <w:pgNumType w:fmt="decimal" w:start="0"/>
          <w:cols w:space="0" w:num="1"/>
          <w:formProt w:val="0"/>
          <w:titlePg/>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有人说：产量是“钱”，质量是“命”。如果我们不重视质量而只是一味地追求产量，无异于“要钱不要命”，最终只能是“人财两空”。这种说法很形象地说明了这样一个主题，那就是“质量是企业生命的保证”。而当企业在不断实现自我超越，为社会创造更多财富，体现价值的时候，更需要开展好质量工作，以不断提升自身发展品质。</w:t>
      </w:r>
    </w:p>
    <w:p>
      <w:pPr>
        <w:pStyle w:val="3"/>
        <w:bidi w:val="0"/>
      </w:pPr>
      <w:bookmarkStart w:id="0" w:name="_Toc3916"/>
      <w:r>
        <w:rPr>
          <w:rFonts w:hint="eastAsia"/>
        </w:rPr>
        <w:t>一、质量工作意识是提升组织发展品质的前提</w:t>
      </w:r>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质量是什么？质量工作的核心价值是什么？这两个问题是我们开展质量工作首先要做出回答的，因为它们直接决定着我们未来质量工作的方向和行动。对于质量的定义，不同年代的理论学者、企业精英们做出了各种各样的解释。有从实践中感悟而来的，也有从文化的角度体会出来的。比</w:t>
      </w:r>
      <w:bookmarkStart w:id="6" w:name="_GoBack"/>
      <w:bookmarkEnd w:id="6"/>
      <w:r>
        <w:rPr>
          <w:rFonts w:hint="eastAsia" w:ascii="Times New Roman" w:hAnsi="Times New Roman" w:eastAsia="仿宋"/>
          <w:sz w:val="28"/>
        </w:rPr>
        <w:t>如：质量是从客户的观点出发加强到产品上的东西（Quality isanything that enhances the product from the viewpoint of the customer.）；质量是客户的满意、热情和忠诚（Quality is customer enthusiasm.）；质量是一种文化，是一种生活方式（Quality is a culture and the way oflife.）等等。对于上述各种解释，本人更愿意将质量理解为“一种文化”、“一种生活方式”，质量蕴含着事物特定的品质，这种品质贯穿于社会生活、组织活动的方方面面，决定着事物的变化取向。这样，当我们期待着事物在积极变化中趋于完美的时候，是不是要通过我们的行动，促使事物累积出更多、更优秀的发展品质呢？如果将这个意思施于组织的发展，就很容易得到关于质量工作核心价值的内容，那就是通过一定方式的质量工作，帮助组织提升发展品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开展好质量工作，要求我们对于质量工作必须有全面、深入的认识。我们说，组织的发展是综合实力的体现，所以，质量工作应当从组织全面发展的角度考虑活动内容。然而，对于有些组织来说，质量工作主要是围绕产品质量控制所开展的管理活动，受限于狭义性范畴；另外，质量工作没有过多地考虑到提升组织活动的“效益”、“效率”，而更侧重于满足通过质量认证的需要。这些情况反映出，对于质量工作认识的广泛性、目的性，这些组织的质量工作意识还远没有达到相应的高度，还不能满足组织追求高品质、高效益，提升竞争能力的要求。</w:t>
      </w:r>
    </w:p>
    <w:p>
      <w:pPr>
        <w:pStyle w:val="3"/>
        <w:bidi w:val="0"/>
      </w:pPr>
      <w:bookmarkStart w:id="1" w:name="_Toc6061"/>
      <w:r>
        <w:rPr>
          <w:rFonts w:hint="eastAsia"/>
        </w:rPr>
        <w:t>二、持续改进工作常态化</w:t>
      </w:r>
      <w:bookmarkEnd w:id="1"/>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持续改进对企业的生存和发展具有必要而又有十分重要的意义，我们必须弄清楚持续改进的内涵。按GB/T19000-2005《质量管理体系 基础和术语》的定义，持续改进即为“增强满足要求的能力的循环活动”。从该定义看，我们需要关注“要求”、“能力”、“循环”几个关键词。相对一个企业，“要求”从广义上可理解为，企业自身生存、发展的要求（包括技术发展、成本控制、效率提升等等），职工的要求（包括晋级晋升、薪酬、福利、职业生涯发展等等）；从特定的角度可有多方面理解，如就产品而言，顾客对产品技术、质量的要求；法律法规对产品质量的要求等等。“能力”即为“企业、体系或过程实现产品、成本、质量、效率并使其满足要求的本领”。“循环”则是不断重复的进行。由此可见，“持续改进”可通俗的理解为：要不断的通过一些活动，实现企业能力或本领螺旋式上升。</w:t>
      </w:r>
    </w:p>
    <w:p>
      <w:pPr>
        <w:pStyle w:val="3"/>
        <w:bidi w:val="0"/>
      </w:pPr>
      <w:bookmarkStart w:id="2" w:name="_Toc26177"/>
      <w:r>
        <w:rPr>
          <w:rFonts w:hint="eastAsia"/>
        </w:rPr>
        <w:t>三、QC 小组</w:t>
      </w:r>
      <w:bookmarkEnd w:id="2"/>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QC 小组作为企业质量管理的基础工作和有效活动，至今已得到广大企业的认同。企业持续发展的力量来自基层员工，只有充分发挥每一个人的技能、经验和才智，才能把企业建成一个优秀的企业。QC小组作为员工参与企业管理的一种重要形式，对企业的质量进步起着至关重要的作用。因而，企业管理者必须结合企业自身的实际情况，采取积极有效的措施和手段，吸引越来越多的员工参与QC 小组的活动。</w:t>
      </w:r>
    </w:p>
    <w:p>
      <w:pPr>
        <w:pStyle w:val="3"/>
        <w:bidi w:val="0"/>
      </w:pPr>
      <w:bookmarkStart w:id="3" w:name="_Toc29130"/>
      <w:r>
        <w:rPr>
          <w:rFonts w:hint="eastAsia"/>
        </w:rPr>
        <w:t>四、产品信息化</w:t>
      </w:r>
      <w:bookmarkEnd w:id="3"/>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随着产品质量在过程控制阶段工作的不断深入，过程中的质量信息不断增加，仅凭人工操作势必会造成质量保证人员在信息分类、汇总方面工作量的大幅上升，也造成了对质量信息分析和利用难度的增大。引入信息化手段，建立信息化质量管理系统，在质量信息的发布、处理、收集和分析方面能够取得了较好效果，有利于促进产品质量的稳步提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质量信息是在体系运行过程中产生的各类信息，对质量信息的收集、统计和分析是组织进行正确决策的基础，对于改进产品设计，掌握过程能力、过程运行情况及变化趋势，识别产品实现的薄弱环节并及时采取预防措施，有着极其重大的意义。随着军工产品复杂度越来越高，以及各企业对产品质量过程控制的不断严格，过程中产生的质量信息成倍增加，面对数量如此庞大的质量信息，如何有效的利用这些信息，成为各个企业必须面对的难题。信息化管理工具在收集和分析大量信息方面有着较强的能力，依托数据库的存储和查询功能能够快速的对信息进行汇总分类，为有效的利用质量信息提供了一个便捷的平台，传统非信息化质量管理系统的弊端和信息化管理系统的优势分析方面入手，并结合实际信息化质量管理案例，简要说明信息化质量管理系统建设的必要性和实现途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目前很多企业普遍采用纸质单据和人工处理的方式，各环节发现的问题，以纸质反馈单的形式提交给质量部门，质量部门人员将反馈单下发到相关部门和人员，相关处理人员填写纸质处理单，并经过各级人员的审批后交质量保证人员，完成反馈单的闭环。在产品相对简单，环节较少的情况下，此种方式是可行的。但随着产品的复杂程度越来越高、企业在产品过程控制方面的工作不断深入，原有的纸质单据和人工处理方式的弊端逐渐显现：</w:t>
      </w:r>
    </w:p>
    <w:p>
      <w:pPr>
        <w:keepNext w:val="0"/>
        <w:keepLines w:val="0"/>
        <w:pageBreakBefore w:val="0"/>
        <w:widowControl w:val="0"/>
        <w:numPr>
          <w:ilvl w:val="0"/>
          <w:numId w:val="1"/>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大量的反馈信息造成了纸质单据存放困难和难以查找的问题；</w:t>
      </w:r>
    </w:p>
    <w:p>
      <w:pPr>
        <w:keepNext w:val="0"/>
        <w:keepLines w:val="0"/>
        <w:pageBreakBefore w:val="0"/>
        <w:widowControl w:val="0"/>
        <w:numPr>
          <w:ilvl w:val="0"/>
          <w:numId w:val="1"/>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因为单据需要多个部门的审批，流转过程费时费力且时效性差；</w:t>
      </w:r>
    </w:p>
    <w:p>
      <w:pPr>
        <w:keepNext w:val="0"/>
        <w:keepLines w:val="0"/>
        <w:pageBreakBefore w:val="0"/>
        <w:widowControl w:val="0"/>
        <w:numPr>
          <w:ilvl w:val="0"/>
          <w:numId w:val="1"/>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难以被汇总和分析，从而导致了质量信息利用程度较低，对后续的产品改进和研制借鉴作用十分有限；</w:t>
      </w:r>
    </w:p>
    <w:p>
      <w:pPr>
        <w:keepNext w:val="0"/>
        <w:keepLines w:val="0"/>
        <w:pageBreakBefore w:val="0"/>
        <w:widowControl w:val="0"/>
        <w:numPr>
          <w:ilvl w:val="0"/>
          <w:numId w:val="1"/>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同时纸质单据的传递和处理过程中，容易出现个别单据的遗失现象，也给质量问题的处理造成了困难。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针对质量信息的不断增加的情况和纸质单据的各种弊端，各企业也采取了一些措施，如由质量部门进行汇总后录入EXCEL等办公工具进行汇总等方法，能够对信息的汇总起到一定作用，但是前期的质量信息处理和单据流转工作量没有减少，同时这些办公工具的检索和分类功能十分有限且只能在单机使用，无法利用局域网进行信息的发布和共享，也很难对大量信息进行检索和分析。质量信息管理系统利用信息化处理工具的优势，解决信息存储和检索的问题，减少信息流转环节工作量，并及时发布信息，做到信息的及时共享和复用。表1是质量信息存储表的基本结构的一个实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sz w:val="28"/>
        </w:rPr>
        <w:sectPr>
          <w:footerReference r:id="rId6" w:type="default"/>
          <w:pgSz w:w="11850" w:h="16783"/>
          <w:pgMar w:top="1304" w:right="1134" w:bottom="1304" w:left="1134" w:header="851" w:footer="992" w:gutter="0"/>
          <w:pgNumType w:fmt="decimal" w:start="1"/>
          <w:cols w:space="0" w:num="1"/>
          <w:formProt w:val="0"/>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ascii="Times New Roman" w:hAnsi="Times New Roman" w:eastAsia="仿宋"/>
          <w:sz w:val="28"/>
        </w:rPr>
      </w:pPr>
      <w:r>
        <w:rPr>
          <w:rFonts w:hint="eastAsia" w:ascii="Times New Roman" w:hAnsi="Times New Roman" w:eastAsia="仿宋"/>
          <w:sz w:val="28"/>
        </w:rPr>
        <w:t>表1 质量信息表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1056"/>
        <w:gridCol w:w="1011"/>
        <w:gridCol w:w="785"/>
        <w:gridCol w:w="965"/>
        <w:gridCol w:w="2043"/>
        <w:gridCol w:w="785"/>
        <w:gridCol w:w="1892"/>
        <w:gridCol w:w="2403"/>
        <w:gridCol w:w="1324"/>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反馈单号</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项目代号</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反馈时间</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反馈人</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发生阶段</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反馈内容</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处理人</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原因分析</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处理措施</w:t>
            </w:r>
          </w:p>
        </w:tc>
        <w:tc>
          <w:tcPr>
            <w:tcW w:w="0" w:type="auto"/>
            <w:tcBorders>
              <w:top w:val="single" w:color="4F81BD" w:sz="8" w:space="0"/>
              <w:left w:val="dotted" w:color="auto" w:sz="4" w:space="0"/>
              <w:bottom w:val="single" w:color="4F81BD" w:sz="8" w:space="0"/>
              <w:right w:val="dotted" w:color="auto" w:sz="4"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是否更改文件</w:t>
            </w:r>
          </w:p>
        </w:tc>
        <w:tc>
          <w:tcPr>
            <w:tcW w:w="0" w:type="auto"/>
            <w:tcBorders>
              <w:top w:val="single" w:color="4F81BD" w:sz="8" w:space="0"/>
              <w:left w:val="dotted" w:color="auto" w:sz="4" w:space="0"/>
              <w:bottom w:val="single" w:color="4F81BD" w:sz="8" w:space="0"/>
              <w:right w:val="single" w:color="4F81BD" w:sz="8" w:space="0"/>
            </w:tcBorders>
            <w:shd w:val="clear" w:color="auto" w:fill="4F81BD"/>
            <w:vAlign w:val="center"/>
          </w:tcPr>
          <w:p>
            <w:pPr>
              <w:autoSpaceDE w:val="0"/>
              <w:autoSpaceDN w:val="0"/>
              <w:adjustRightInd w:val="0"/>
              <w:spacing w:line="240" w:lineRule="atLeast"/>
              <w:jc w:val="center"/>
              <w:rPr>
                <w:rFonts w:cs="宋体" w:asciiTheme="majorEastAsia" w:hAnsiTheme="majorEastAsia" w:eastAsiaTheme="majorEastAsia"/>
                <w:color w:val="FFFFFF"/>
                <w:kern w:val="0"/>
                <w:szCs w:val="21"/>
              </w:rPr>
            </w:pPr>
            <w:r>
              <w:rPr>
                <w:rFonts w:hint="eastAsia" w:cs="宋体" w:asciiTheme="majorEastAsia" w:hAnsiTheme="majorEastAsia" w:eastAsiaTheme="majorEastAsia"/>
                <w:color w:val="FFFFFF"/>
                <w:kern w:val="0"/>
                <w:szCs w:val="21"/>
              </w:rPr>
              <w:t>状态标识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ËÎÌå" w:asciiTheme="majorEastAsia" w:hAnsiTheme="majorEastAsia" w:eastAsiaTheme="majorEastAsia"/>
                <w:color w:val="000000"/>
                <w:kern w:val="0"/>
                <w:szCs w:val="21"/>
              </w:rPr>
              <w:t>140508</w:t>
            </w:r>
            <w:r>
              <w:rPr>
                <w:rFonts w:cs="ËÎÌå" w:asciiTheme="majorEastAsia" w:hAnsiTheme="majorEastAsia" w:eastAsiaTheme="majorEastAsia"/>
                <w:color w:val="000000"/>
                <w:kern w:val="0"/>
                <w:szCs w:val="21"/>
              </w:rPr>
              <w:t>-0</w:t>
            </w:r>
            <w:r>
              <w:rPr>
                <w:rFonts w:hint="eastAsia" w:cs="ËÎÌå" w:asciiTheme="majorEastAsia" w:hAnsiTheme="majorEastAsia" w:eastAsiaTheme="majorEastAsia"/>
                <w:color w:val="000000"/>
                <w:kern w:val="0"/>
                <w:szCs w:val="21"/>
              </w:rPr>
              <w:t>1</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cs="ËÎÌå" w:asciiTheme="majorEastAsia" w:hAnsiTheme="majorEastAsia" w:eastAsiaTheme="majorEastAsia"/>
                <w:color w:val="000000"/>
                <w:kern w:val="0"/>
                <w:szCs w:val="21"/>
              </w:rPr>
              <w:t>XX</w:t>
            </w:r>
            <w:r>
              <w:rPr>
                <w:rFonts w:hint="eastAsia" w:cs="ËÎÌå" w:asciiTheme="majorEastAsia" w:hAnsiTheme="majorEastAsia" w:eastAsiaTheme="majorEastAsia"/>
                <w:color w:val="000000"/>
                <w:kern w:val="0"/>
                <w:szCs w:val="21"/>
              </w:rPr>
              <w:t>14</w:t>
            </w:r>
            <w:r>
              <w:rPr>
                <w:rFonts w:cs="ËÎÌå" w:asciiTheme="majorEastAsia" w:hAnsiTheme="majorEastAsia" w:eastAsiaTheme="majorEastAsia"/>
                <w:color w:val="000000"/>
                <w:kern w:val="0"/>
                <w:szCs w:val="21"/>
              </w:rPr>
              <w:t>0</w:t>
            </w:r>
            <w:r>
              <w:rPr>
                <w:rFonts w:hint="eastAsia" w:cs="ËÎÌå" w:asciiTheme="majorEastAsia" w:hAnsiTheme="majorEastAsia" w:eastAsiaTheme="majorEastAsia"/>
                <w:color w:val="000000"/>
                <w:kern w:val="0"/>
                <w:szCs w:val="21"/>
              </w:rPr>
              <w:t>02</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cs="ËÎÌå" w:asciiTheme="majorEastAsia" w:hAnsiTheme="majorEastAsia" w:eastAsiaTheme="majorEastAsia"/>
                <w:color w:val="000000"/>
                <w:kern w:val="0"/>
                <w:szCs w:val="21"/>
              </w:rPr>
              <w:t>1</w:t>
            </w:r>
            <w:r>
              <w:rPr>
                <w:rFonts w:hint="eastAsia" w:cs="ËÎÌå" w:asciiTheme="majorEastAsia" w:hAnsiTheme="majorEastAsia" w:eastAsiaTheme="majorEastAsia"/>
                <w:color w:val="000000"/>
                <w:kern w:val="0"/>
                <w:szCs w:val="21"/>
              </w:rPr>
              <w:t>0</w:t>
            </w:r>
            <w:r>
              <w:rPr>
                <w:rFonts w:cs="ËÎÌå" w:asciiTheme="majorEastAsia" w:hAnsiTheme="majorEastAsia" w:eastAsiaTheme="majorEastAsia"/>
                <w:color w:val="000000"/>
                <w:kern w:val="0"/>
                <w:szCs w:val="21"/>
              </w:rPr>
              <w:t>:00</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hint="eastAsia" w:cs="ËÎÌå" w:asciiTheme="majorEastAsia" w:hAnsiTheme="majorEastAsia" w:eastAsiaTheme="majorEastAsia"/>
                <w:color w:val="000000"/>
                <w:kern w:val="0"/>
                <w:szCs w:val="21"/>
              </w:rPr>
              <w:t>王天</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外协生产</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加工未按图纸要求倒角</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胡飞</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加工厂加工错误</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返厂返工后复验合格</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无需</w:t>
            </w:r>
          </w:p>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替图</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已审</w:t>
            </w:r>
          </w:p>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hint="eastAsia" w:cs="ËÎÌå" w:asciiTheme="majorEastAsia" w:hAnsiTheme="majorEastAsia" w:eastAsiaTheme="majorEastAsia"/>
                <w:color w:val="000000"/>
                <w:kern w:val="0"/>
                <w:szCs w:val="21"/>
              </w:rPr>
              <w:t>14</w:t>
            </w:r>
            <w:r>
              <w:rPr>
                <w:rFonts w:cs="ËÎÌå" w:asciiTheme="majorEastAsia" w:hAnsiTheme="majorEastAsia" w:eastAsiaTheme="majorEastAsia"/>
                <w:color w:val="000000"/>
                <w:kern w:val="0"/>
                <w:szCs w:val="21"/>
              </w:rPr>
              <w:t>0</w:t>
            </w:r>
            <w:r>
              <w:rPr>
                <w:rFonts w:hint="eastAsia" w:cs="ËÎÌå" w:asciiTheme="majorEastAsia" w:hAnsiTheme="majorEastAsia" w:eastAsiaTheme="majorEastAsia"/>
                <w:color w:val="000000"/>
                <w:kern w:val="0"/>
                <w:szCs w:val="21"/>
              </w:rPr>
              <w:t>5</w:t>
            </w:r>
            <w:r>
              <w:rPr>
                <w:rFonts w:cs="ËÎÌå" w:asciiTheme="majorEastAsia" w:hAnsiTheme="majorEastAsia" w:eastAsiaTheme="majorEastAsia"/>
                <w:color w:val="000000"/>
                <w:kern w:val="0"/>
                <w:szCs w:val="21"/>
              </w:rPr>
              <w:t>08-0</w:t>
            </w:r>
            <w:r>
              <w:rPr>
                <w:rFonts w:hint="eastAsia" w:cs="ËÎÌå" w:asciiTheme="majorEastAsia" w:hAnsiTheme="majorEastAsia" w:eastAsiaTheme="majorEastAsia"/>
                <w:color w:val="000000"/>
                <w:kern w:val="0"/>
                <w:szCs w:val="21"/>
              </w:rPr>
              <w:t>2</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cs="ËÎÌå" w:asciiTheme="majorEastAsia" w:hAnsiTheme="majorEastAsia" w:eastAsiaTheme="majorEastAsia"/>
                <w:color w:val="000000"/>
                <w:kern w:val="0"/>
                <w:szCs w:val="21"/>
              </w:rPr>
              <w:t>XX1</w:t>
            </w:r>
            <w:r>
              <w:rPr>
                <w:rFonts w:hint="eastAsia" w:cs="ËÎÌå" w:asciiTheme="majorEastAsia" w:hAnsiTheme="majorEastAsia" w:eastAsiaTheme="majorEastAsia"/>
                <w:color w:val="000000"/>
                <w:kern w:val="0"/>
                <w:szCs w:val="21"/>
              </w:rPr>
              <w:t>4</w:t>
            </w:r>
            <w:r>
              <w:rPr>
                <w:rFonts w:cs="ËÎÌå" w:asciiTheme="majorEastAsia" w:hAnsiTheme="majorEastAsia" w:eastAsiaTheme="majorEastAsia"/>
                <w:color w:val="000000"/>
                <w:kern w:val="0"/>
                <w:szCs w:val="21"/>
              </w:rPr>
              <w:t>0</w:t>
            </w:r>
            <w:r>
              <w:rPr>
                <w:rFonts w:hint="eastAsia" w:cs="ËÎÌå" w:asciiTheme="majorEastAsia" w:hAnsiTheme="majorEastAsia" w:eastAsiaTheme="majorEastAsia"/>
                <w:color w:val="000000"/>
                <w:kern w:val="0"/>
                <w:szCs w:val="21"/>
              </w:rPr>
              <w:t>01</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ËÎÌå" w:asciiTheme="majorEastAsia" w:hAnsiTheme="majorEastAsia" w:eastAsiaTheme="majorEastAsia"/>
                <w:color w:val="000000"/>
                <w:kern w:val="0"/>
                <w:szCs w:val="21"/>
              </w:rPr>
            </w:pPr>
            <w:r>
              <w:rPr>
                <w:rFonts w:cs="ËÎÌå" w:asciiTheme="majorEastAsia" w:hAnsiTheme="majorEastAsia" w:eastAsiaTheme="majorEastAsia"/>
                <w:color w:val="000000"/>
                <w:kern w:val="0"/>
                <w:szCs w:val="21"/>
              </w:rPr>
              <w:t>15:00</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王天</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外协生产</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加工零件尺寸超差</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胡飞</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图纸尺寸标注不清晰</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替换图返厂返工后复验合格</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已替图纸</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未审</w:t>
            </w:r>
          </w:p>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140512-01</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XX114004</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09：30</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赵军</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机加工</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少加工一孔</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胡飞</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加工错误</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返工按图加工孔复验合格</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无需更改</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已审批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140519-01</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XX114003</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10：00</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李力</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装配</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器件焊接不牢</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王明</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ind w:firstLine="20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虚焊</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重新焊接</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无需更改</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已审批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140603-01</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XX114006</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15：45</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李力</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校试</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指标不到位</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王明</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元器件问题</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更换元器件</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无需更改</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已审批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140603-02</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XX114005</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11：00</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李力</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装配</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元器件装错</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王明</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工艺流程错误</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重排工艺返工后合格</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更改工艺文件</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未审批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0" w:type="auto"/>
            <w:tcBorders>
              <w:top w:val="single" w:color="4F81BD" w:sz="8" w:space="0"/>
              <w:left w:val="single" w:color="4F81BD" w:sz="8"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140605-01</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XX114007</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10：00</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赵军</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机加工</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尺寸不对</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胡飞</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加工厂加工错误</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返厂返工后复验合格</w:t>
            </w:r>
          </w:p>
        </w:tc>
        <w:tc>
          <w:tcPr>
            <w:tcW w:w="0" w:type="auto"/>
            <w:tcBorders>
              <w:top w:val="single" w:color="4F81BD" w:sz="8" w:space="0"/>
              <w:left w:val="dotted" w:color="auto" w:sz="4" w:space="0"/>
              <w:bottom w:val="single" w:color="4F81BD" w:sz="8" w:space="0"/>
              <w:right w:val="dotted" w:color="auto" w:sz="4"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无需</w:t>
            </w:r>
          </w:p>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替图</w:t>
            </w:r>
          </w:p>
        </w:tc>
        <w:tc>
          <w:tcPr>
            <w:tcW w:w="0" w:type="auto"/>
            <w:tcBorders>
              <w:top w:val="single" w:color="4F81BD" w:sz="8" w:space="0"/>
              <w:left w:val="dotted" w:color="auto" w:sz="4" w:space="0"/>
              <w:bottom w:val="single" w:color="4F81BD" w:sz="8" w:space="0"/>
              <w:right w:val="single" w:color="4F81BD" w:sz="8" w:space="0"/>
            </w:tcBorders>
            <w:shd w:val="clear" w:color="auto" w:fill="FFFFFF"/>
            <w:vAlign w:val="center"/>
          </w:tcPr>
          <w:p>
            <w:pPr>
              <w:autoSpaceDE w:val="0"/>
              <w:autoSpaceDN w:val="0"/>
              <w:adjustRightInd w:val="0"/>
              <w:spacing w:line="240" w:lineRule="atLeast"/>
              <w:jc w:val="center"/>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已审批</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sz w:val="28"/>
        </w:rPr>
        <w:sectPr>
          <w:pgSz w:w="16783" w:h="11850" w:orient="landscape"/>
          <w:pgMar w:top="1134" w:right="1304" w:bottom="1134" w:left="1304" w:header="851" w:footer="992" w:gutter="0"/>
          <w:pgNumType w:fmt="decimal"/>
          <w:cols w:space="0" w:num="1"/>
          <w:formProt w:val="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在数据库中建立一张用户权限表，用以将组织中不同的人员赋予不同的权限，并在登录后显示不同的信息，确保：各检验点的检验人员登录系统后将直接显示与自己相关的质量信息目前处理情况。</w:t>
      </w:r>
    </w:p>
    <w:p>
      <w:pPr>
        <w:keepNext w:val="0"/>
        <w:keepLines w:val="0"/>
        <w:pageBreakBefore w:val="0"/>
        <w:widowControl w:val="0"/>
        <w:numPr>
          <w:ilvl w:val="0"/>
          <w:numId w:val="2"/>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各相关处理人员登录后直接显示与自己相关的待处理质量信息，可直接选定进行处理；</w:t>
      </w:r>
    </w:p>
    <w:p>
      <w:pPr>
        <w:keepNext w:val="0"/>
        <w:keepLines w:val="0"/>
        <w:pageBreakBefore w:val="0"/>
        <w:widowControl w:val="0"/>
        <w:numPr>
          <w:ilvl w:val="0"/>
          <w:numId w:val="2"/>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技术状态管理员登录后直接显示替换文件待确认的质量信息；</w:t>
      </w:r>
    </w:p>
    <w:p>
      <w:pPr>
        <w:keepNext w:val="0"/>
        <w:keepLines w:val="0"/>
        <w:pageBreakBefore w:val="0"/>
        <w:widowControl w:val="0"/>
        <w:numPr>
          <w:ilvl w:val="0"/>
          <w:numId w:val="2"/>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部门负责人登陆后直接显示本部门未处理、未替图、未审核的质量信息，可直接选取进行审核；</w:t>
      </w:r>
    </w:p>
    <w:p>
      <w:pPr>
        <w:keepNext w:val="0"/>
        <w:keepLines w:val="0"/>
        <w:pageBreakBefore w:val="0"/>
        <w:widowControl w:val="0"/>
        <w:numPr>
          <w:ilvl w:val="0"/>
          <w:numId w:val="2"/>
        </w:numPr>
        <w:kinsoku/>
        <w:wordWrap/>
        <w:overflowPunct/>
        <w:topLinePunct w:val="0"/>
        <w:autoSpaceDE/>
        <w:autoSpaceDN/>
        <w:bidi w:val="0"/>
        <w:adjustRightInd/>
        <w:snapToGrid/>
        <w:ind w:left="420" w:leftChars="0" w:hanging="420" w:firstLineChars="0"/>
        <w:textAlignment w:val="auto"/>
        <w:rPr>
          <w:rFonts w:ascii="Times New Roman" w:hAnsi="Times New Roman" w:eastAsia="仿宋"/>
          <w:color w:val="1F497D" w:themeColor="text2"/>
          <w:sz w:val="28"/>
          <w14:textFill>
            <w14:solidFill>
              <w14:schemeClr w14:val="tx2"/>
            </w14:solidFill>
          </w14:textFill>
        </w:rPr>
      </w:pPr>
      <w:r>
        <w:rPr>
          <w:rFonts w:hint="eastAsia" w:ascii="Times New Roman" w:hAnsi="Times New Roman" w:eastAsia="仿宋"/>
          <w:color w:val="1F497D" w:themeColor="text2"/>
          <w:sz w:val="28"/>
          <w14:textFill>
            <w14:solidFill>
              <w14:schemeClr w14:val="tx2"/>
            </w14:solidFill>
          </w14:textFill>
        </w:rPr>
        <w:t>质量保证员登录后直接显示自己负责项目的所有质量信息情况。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根据对质量信息的查询需求，使用ASP实现对数据库的查询功能，实现按照项目、时间、故障现象、质量信息状态等一项内容或多项内容组合查询的方式。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通过质量信息管理系统对质量信息的分析和利用手段不断增强，从而帮助企业制定针对性强的纠正措施，质量部门找出产品实现过程的薄弱环节，提请相关部门采取纠正措施，并根据产品质量的变化趋势，及时进行监控和改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采用信息化的质量信息管理系统能够有效的管理日益增多的质量信息，并建立信息数据库，能够为产品的设计改进和新产品研制提供数据基础，能使工作流程规范统一，通过预先定制的工作流程实现工作界面的统一化和规范化，实现办公自动化，大大提高质量信息的处理效率。若进一步使用统计过程技术对问题进行积累、汇总和分析，从而不断的发现问题的根本原因，针对原因采取措施，同时不断完善体系，不断提高管理水平，从而保证产品质量的稳步提高。</w:t>
      </w:r>
    </w:p>
    <w:p>
      <w:pPr>
        <w:pStyle w:val="3"/>
        <w:bidi w:val="0"/>
      </w:pPr>
      <w:bookmarkStart w:id="4" w:name="_Toc7696"/>
      <w:r>
        <w:rPr>
          <w:rFonts w:hint="eastAsia"/>
        </w:rPr>
        <w:t>五、六西格玛质量管理理论及应用</w:t>
      </w:r>
      <w:bookmarkEnd w:id="4"/>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建立六西格玛质量管理系统，其方法为按照六西格玛的理论精髓建立六西格玛组织结构，通过六西格玛改进，采用项目管理的方式来实现产品和服务质量的持续改进。其结果以“零缺陷”的完美追求，带动质量成本的大幅度降低，最终实现财务成效与企业竞争力显著提升，以及员工思维模式和做事方法的重大变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六西格玛（Six Sigma,6σ）最早是由摩托罗拉公司的比尔•史密斯于1986年提出，其目的是设计一个目标：在生产过程中降低产品及流程的缺陷次数，防止产品变异，提升品质。基于这种概念，建立了相应的管理体系,并全力应用到公司的各个方面，从开始实施到1999年，公司平均每年提高生产率12.3%，不良率只有以前的1/20。其管理哲学“质量是我们的工作，客户满意是我们的职责，客户忠诚是我们的未来”更是深入人心。六西格玛真正流行并发展起来，是在通用电气公司的实践，其CEO杰克.韦尔奇于20世纪90年代发展起来的6σ （西格玛）管理是在总结了全面质量管理的成功经验，将六西格玛方法演变为一个质量管理系统，将人力资源、财务与六西格玛实施结果的衡量紧密地结合在一起，融合成为一种提高企业业绩与竞争力的管理模式。该管理法在通用电气、戴尔、惠普、西门子、索尼、东芝、华硕等众多跨国企业的实践证明是卓有成效的。为此，国内一些部门和机构在国内企业大力推6σ管理工作，引导企业开展6σ管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六西格玛体系在管理上的理解可以概括为：六西格玛是一种对顾客需求的理解，对事实和数据的规范使用与统计分析，以及对管理与业务流程持续改善而获得卓越绩效表现的质量管理系统。从组织管理层面看，六西格玛是一种提升竞争力的经营战略和组织变革的方法。从运作层面看，六西格玛是一种改善流程、消除缺陷的统计方法和工作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传统的组织一般品质要求已提升至3σ，这就是说产品的合格率已达至99.73%的水平，只有0.27%为不良品。产品达至如此水平已让我们非常满意。可是，根据专家研究结果证明，如果产品达到99.73%合格率的话，以下事件便会继续在现实中发生：每年有20，000 次配错药事件；每年不超过15000 婴儿出生时会被抛落地上；由此可以看出，随着人们对产品质量要求的不断提高和现代生产管理流程的日益复杂化，组织越来越需要像六西格玛（百万分之三点四的不合格品率）这样的高端流程质量管理标准，以保持在激烈的市场竞争中的优势地位。</w:t>
      </w:r>
    </w:p>
    <w:p>
      <w:pPr>
        <w:pStyle w:val="3"/>
        <w:bidi w:val="0"/>
      </w:pPr>
      <w:bookmarkStart w:id="5" w:name="_Toc20109"/>
      <w:r>
        <w:rPr>
          <w:rFonts w:hint="eastAsia"/>
        </w:rPr>
        <w:t>六、结束语</w:t>
      </w:r>
      <w:bookmarkEnd w:id="5"/>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imes New Roman" w:hAnsi="Times New Roman" w:eastAsia="仿宋"/>
          <w:sz w:val="28"/>
        </w:rPr>
      </w:pPr>
      <w:r>
        <w:rPr>
          <w:rFonts w:hint="eastAsia" w:ascii="Times New Roman" w:hAnsi="Times New Roman" w:eastAsia="仿宋"/>
          <w:sz w:val="28"/>
        </w:rPr>
        <w:t>社会发展、技术进步、经济全球化，不进则退、缓进则慢退的状况已被大量鲜活的事例所证明。只有科学认识，准确理解持续改进的内涵、驱动因素、流程以及改进的技术、方法和工具，建立配套的完善改进机制，自动自发，瞄准标杆,把握改进方向，将改进工作作为企业发展历程中的一项永续活动，紧紧围绕科技创新能力建设、人才队伍培养、成本管理和管理流程优化等方面，实施持续改进工作常态化，方能切实推动企业逐步掌控一批新的核心技术、关键技术，激发人才创造力，不断提升核心竞争力，提高运营效益和管理质量，最终在激烈竞争的环境中逐浪弄潮。</w:t>
      </w:r>
    </w:p>
    <w:sectPr>
      <w:pgSz w:w="11850" w:h="16783"/>
      <w:pgMar w:top="1304" w:right="1134" w:bottom="1304" w:left="1134" w:header="851" w:footer="992" w:gutter="0"/>
      <w:pgNumType w:fmt="decimal"/>
      <w:cols w:space="0" w:num="1"/>
      <w:formProt w:val="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ËÎÌå">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eastAsia="宋体" w:cs="宋体"/>
                              <w:kern w:val="0"/>
                              <w:sz w:val="24"/>
                              <w:szCs w:val="24"/>
                            </w:rPr>
                            <w:t>第</w:t>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PAGE \* MERGEFORMAT </w:instrText>
                          </w:r>
                          <w:r>
                            <w:rPr>
                              <w:rFonts w:ascii="宋体" w:hAnsi="宋体" w:eastAsia="宋体" w:cs="宋体"/>
                              <w:kern w:val="0"/>
                              <w:sz w:val="24"/>
                              <w:szCs w:val="24"/>
                            </w:rPr>
                            <w:fldChar w:fldCharType="separate"/>
                          </w:r>
                          <w:r>
                            <w:rPr>
                              <w:rFonts w:ascii="宋体" w:hAnsi="宋体" w:eastAsia="宋体" w:cs="宋体"/>
                              <w:kern w:val="0"/>
                              <w:sz w:val="24"/>
                              <w:szCs w:val="24"/>
                            </w:rPr>
                            <w:t>2</w:t>
                          </w:r>
                          <w:r>
                            <w:rPr>
                              <w:rFonts w:ascii="宋体" w:hAnsi="宋体" w:eastAsia="宋体" w:cs="宋体"/>
                              <w:kern w:val="0"/>
                              <w:sz w:val="24"/>
                              <w:szCs w:val="24"/>
                            </w:rPr>
                            <w:fldChar w:fldCharType="end"/>
                          </w:r>
                          <w:r>
                            <w:rPr>
                              <w:rFonts w:ascii="宋体" w:hAnsi="宋体" w:eastAsia="宋体" w:cs="宋体"/>
                              <w:kern w:val="0"/>
                              <w:sz w:val="24"/>
                              <w:szCs w:val="24"/>
                            </w:rPr>
                            <w:t>页共</w:t>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w:instrText>
                          </w:r>
                          <w:r>
                            <w:rPr>
                              <w:rFonts w:hint="eastAsia" w:ascii="宋体" w:hAnsi="宋体" w:eastAsia="宋体" w:cs="宋体"/>
                              <w:kern w:val="0"/>
                              <w:sz w:val="24"/>
                              <w:szCs w:val="24"/>
                              <w:lang w:val="en-US" w:eastAsia="zh-CN"/>
                            </w:rPr>
                            <w:instrText xml:space="preserve">=</w:instrText>
                          </w:r>
                          <w:r>
                            <w:rPr>
                              <w:rFonts w:hint="eastAsia" w:ascii="宋体" w:hAnsi="宋体" w:eastAsia="宋体" w:cs="宋体"/>
                              <w:kern w:val="0"/>
                              <w:sz w:val="24"/>
                              <w:szCs w:val="24"/>
                              <w:lang w:val="en-US" w:eastAsia="zh-CN"/>
                            </w:rPr>
                            <w:fldChar w:fldCharType="begin"/>
                          </w:r>
                          <w:r>
                            <w:rPr>
                              <w:rFonts w:hint="eastAsia" w:ascii="宋体" w:hAnsi="宋体" w:eastAsia="宋体" w:cs="宋体"/>
                              <w:kern w:val="0"/>
                              <w:sz w:val="24"/>
                              <w:szCs w:val="24"/>
                              <w:lang w:val="en-US" w:eastAsia="zh-CN"/>
                            </w:rPr>
                            <w:instrText xml:space="preserve"> </w:instrText>
                          </w:r>
                          <w:r>
                            <w:rPr>
                              <w:rFonts w:ascii="宋体" w:hAnsi="宋体" w:eastAsia="宋体" w:cs="宋体"/>
                              <w:kern w:val="0"/>
                              <w:sz w:val="24"/>
                              <w:szCs w:val="24"/>
                            </w:rPr>
                            <w:instrText xml:space="preserve">NUMPAGES \* MERGEFORMAT</w:instrText>
                          </w:r>
                          <w:r>
                            <w:rPr>
                              <w:rFonts w:hint="eastAsia" w:ascii="宋体" w:hAnsi="宋体" w:eastAsia="宋体" w:cs="宋体"/>
                              <w:kern w:val="0"/>
                              <w:sz w:val="24"/>
                              <w:szCs w:val="24"/>
                              <w:lang w:val="en-US" w:eastAsia="zh-CN"/>
                            </w:rPr>
                            <w:instrText xml:space="preserve"> </w:instrText>
                          </w:r>
                          <w:r>
                            <w:rPr>
                              <w:rFonts w:hint="eastAsia" w:ascii="宋体" w:hAnsi="宋体" w:eastAsia="宋体" w:cs="宋体"/>
                              <w:kern w:val="0"/>
                              <w:sz w:val="24"/>
                              <w:szCs w:val="24"/>
                              <w:lang w:val="en-US" w:eastAsia="zh-CN"/>
                            </w:rPr>
                            <w:fldChar w:fldCharType="end"/>
                          </w:r>
                          <w:r>
                            <w:rPr>
                              <w:rFonts w:ascii="宋体" w:hAnsi="宋体" w:eastAsia="宋体" w:cs="宋体"/>
                              <w:kern w:val="0"/>
                              <w:sz w:val="24"/>
                              <w:szCs w:val="24"/>
                            </w:rPr>
                            <w:instrText xml:space="preserve"> </w:instrText>
                          </w:r>
                          <w:r>
                            <w:rPr>
                              <w:rFonts w:hint="eastAsia" w:ascii="宋体" w:hAnsi="宋体" w:eastAsia="宋体" w:cs="宋体"/>
                              <w:kern w:val="0"/>
                              <w:sz w:val="24"/>
                              <w:szCs w:val="24"/>
                              <w:lang w:val="en-US" w:eastAsia="zh-CN"/>
                            </w:rPr>
                            <w:instrText xml:space="preserve">-1</w:instrText>
                          </w:r>
                          <w:r>
                            <w:rPr>
                              <w:rFonts w:ascii="宋体" w:hAnsi="宋体" w:eastAsia="宋体" w:cs="宋体"/>
                              <w:kern w:val="0"/>
                              <w:sz w:val="24"/>
                              <w:szCs w:val="24"/>
                            </w:rPr>
                            <w:fldChar w:fldCharType="separate"/>
                          </w:r>
                          <w:r>
                            <w:rPr>
                              <w:rFonts w:ascii="宋体" w:hAnsi="宋体" w:eastAsia="宋体" w:cs="宋体"/>
                              <w:kern w:val="0"/>
                              <w:sz w:val="24"/>
                              <w:szCs w:val="24"/>
                            </w:rPr>
                            <w:t>9</w:t>
                          </w:r>
                          <w:r>
                            <w:rPr>
                              <w:rFonts w:ascii="宋体" w:hAnsi="宋体" w:eastAsia="宋体" w:cs="宋体"/>
                              <w:kern w:val="0"/>
                              <w:sz w:val="24"/>
                              <w:szCs w:val="24"/>
                            </w:rPr>
                            <w:fldChar w:fldCharType="end"/>
                          </w:r>
                          <w:r>
                            <w:rPr>
                              <w:rFonts w:ascii="宋体" w:hAnsi="宋体" w:eastAsia="宋体" w:cs="宋体"/>
                              <w:kern w:val="0"/>
                              <w:sz w:val="24"/>
                              <w:szCs w:val="24"/>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4"/>
                      <w:jc w:val="right"/>
                    </w:pPr>
                    <w:r>
                      <w:rPr>
                        <w:rFonts w:ascii="宋体" w:hAnsi="宋体" w:eastAsia="宋体" w:cs="宋体"/>
                        <w:kern w:val="0"/>
                        <w:sz w:val="24"/>
                        <w:szCs w:val="24"/>
                      </w:rPr>
                      <w:t>第</w:t>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PAGE \* MERGEFORMAT </w:instrText>
                    </w:r>
                    <w:r>
                      <w:rPr>
                        <w:rFonts w:ascii="宋体" w:hAnsi="宋体" w:eastAsia="宋体" w:cs="宋体"/>
                        <w:kern w:val="0"/>
                        <w:sz w:val="24"/>
                        <w:szCs w:val="24"/>
                      </w:rPr>
                      <w:fldChar w:fldCharType="separate"/>
                    </w:r>
                    <w:r>
                      <w:rPr>
                        <w:rFonts w:ascii="宋体" w:hAnsi="宋体" w:eastAsia="宋体" w:cs="宋体"/>
                        <w:kern w:val="0"/>
                        <w:sz w:val="24"/>
                        <w:szCs w:val="24"/>
                      </w:rPr>
                      <w:t>2</w:t>
                    </w:r>
                    <w:r>
                      <w:rPr>
                        <w:rFonts w:ascii="宋体" w:hAnsi="宋体" w:eastAsia="宋体" w:cs="宋体"/>
                        <w:kern w:val="0"/>
                        <w:sz w:val="24"/>
                        <w:szCs w:val="24"/>
                      </w:rPr>
                      <w:fldChar w:fldCharType="end"/>
                    </w:r>
                    <w:r>
                      <w:rPr>
                        <w:rFonts w:ascii="宋体" w:hAnsi="宋体" w:eastAsia="宋体" w:cs="宋体"/>
                        <w:kern w:val="0"/>
                        <w:sz w:val="24"/>
                        <w:szCs w:val="24"/>
                      </w:rPr>
                      <w:t>页共</w:t>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w:instrText>
                    </w:r>
                    <w:r>
                      <w:rPr>
                        <w:rFonts w:hint="eastAsia" w:ascii="宋体" w:hAnsi="宋体" w:eastAsia="宋体" w:cs="宋体"/>
                        <w:kern w:val="0"/>
                        <w:sz w:val="24"/>
                        <w:szCs w:val="24"/>
                        <w:lang w:val="en-US" w:eastAsia="zh-CN"/>
                      </w:rPr>
                      <w:instrText xml:space="preserve">=</w:instrText>
                    </w:r>
                    <w:r>
                      <w:rPr>
                        <w:rFonts w:hint="eastAsia" w:ascii="宋体" w:hAnsi="宋体" w:eastAsia="宋体" w:cs="宋体"/>
                        <w:kern w:val="0"/>
                        <w:sz w:val="24"/>
                        <w:szCs w:val="24"/>
                        <w:lang w:val="en-US" w:eastAsia="zh-CN"/>
                      </w:rPr>
                      <w:fldChar w:fldCharType="begin"/>
                    </w:r>
                    <w:r>
                      <w:rPr>
                        <w:rFonts w:hint="eastAsia" w:ascii="宋体" w:hAnsi="宋体" w:eastAsia="宋体" w:cs="宋体"/>
                        <w:kern w:val="0"/>
                        <w:sz w:val="24"/>
                        <w:szCs w:val="24"/>
                        <w:lang w:val="en-US" w:eastAsia="zh-CN"/>
                      </w:rPr>
                      <w:instrText xml:space="preserve"> </w:instrText>
                    </w:r>
                    <w:r>
                      <w:rPr>
                        <w:rFonts w:ascii="宋体" w:hAnsi="宋体" w:eastAsia="宋体" w:cs="宋体"/>
                        <w:kern w:val="0"/>
                        <w:sz w:val="24"/>
                        <w:szCs w:val="24"/>
                      </w:rPr>
                      <w:instrText xml:space="preserve">NUMPAGES \* MERGEFORMAT</w:instrText>
                    </w:r>
                    <w:r>
                      <w:rPr>
                        <w:rFonts w:hint="eastAsia" w:ascii="宋体" w:hAnsi="宋体" w:eastAsia="宋体" w:cs="宋体"/>
                        <w:kern w:val="0"/>
                        <w:sz w:val="24"/>
                        <w:szCs w:val="24"/>
                        <w:lang w:val="en-US" w:eastAsia="zh-CN"/>
                      </w:rPr>
                      <w:instrText xml:space="preserve"> </w:instrText>
                    </w:r>
                    <w:r>
                      <w:rPr>
                        <w:rFonts w:hint="eastAsia" w:ascii="宋体" w:hAnsi="宋体" w:eastAsia="宋体" w:cs="宋体"/>
                        <w:kern w:val="0"/>
                        <w:sz w:val="24"/>
                        <w:szCs w:val="24"/>
                        <w:lang w:val="en-US" w:eastAsia="zh-CN"/>
                      </w:rPr>
                      <w:fldChar w:fldCharType="end"/>
                    </w:r>
                    <w:r>
                      <w:rPr>
                        <w:rFonts w:ascii="宋体" w:hAnsi="宋体" w:eastAsia="宋体" w:cs="宋体"/>
                        <w:kern w:val="0"/>
                        <w:sz w:val="24"/>
                        <w:szCs w:val="24"/>
                      </w:rPr>
                      <w:instrText xml:space="preserve"> </w:instrText>
                    </w:r>
                    <w:r>
                      <w:rPr>
                        <w:rFonts w:hint="eastAsia" w:ascii="宋体" w:hAnsi="宋体" w:eastAsia="宋体" w:cs="宋体"/>
                        <w:kern w:val="0"/>
                        <w:sz w:val="24"/>
                        <w:szCs w:val="24"/>
                        <w:lang w:val="en-US" w:eastAsia="zh-CN"/>
                      </w:rPr>
                      <w:instrText xml:space="preserve">-1</w:instrText>
                    </w:r>
                    <w:r>
                      <w:rPr>
                        <w:rFonts w:ascii="宋体" w:hAnsi="宋体" w:eastAsia="宋体" w:cs="宋体"/>
                        <w:kern w:val="0"/>
                        <w:sz w:val="24"/>
                        <w:szCs w:val="24"/>
                      </w:rPr>
                      <w:fldChar w:fldCharType="separate"/>
                    </w:r>
                    <w:r>
                      <w:rPr>
                        <w:rFonts w:ascii="宋体" w:hAnsi="宋体" w:eastAsia="宋体" w:cs="宋体"/>
                        <w:kern w:val="0"/>
                        <w:sz w:val="24"/>
                        <w:szCs w:val="24"/>
                      </w:rPr>
                      <w:t>9</w:t>
                    </w:r>
                    <w:r>
                      <w:rPr>
                        <w:rFonts w:ascii="宋体" w:hAnsi="宋体" w:eastAsia="宋体" w:cs="宋体"/>
                        <w:kern w:val="0"/>
                        <w:sz w:val="24"/>
                        <w:szCs w:val="24"/>
                      </w:rPr>
                      <w:fldChar w:fldCharType="end"/>
                    </w:r>
                    <w:r>
                      <w:rPr>
                        <w:rFonts w:ascii="宋体" w:hAnsi="宋体" w:eastAsia="宋体" w:cs="宋体"/>
                        <w:kern w:val="0"/>
                        <w:sz w:val="24"/>
                        <w:szCs w:val="24"/>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PowerPlusWaterMarkObject172204" o:spid="_x0000_s4103" o:spt="136" type="#_x0000_t136" style="position:absolute;left:0pt;height:80.5pt;width:564.9pt;mso-position-horizontal:center;mso-position-horizontal-relative:margin;mso-position-vertical:center;mso-position-vertical-relative:margin;rotation:-2949120f;z-index:-251649024;mso-width-relative:page;mso-height-relative:page;" fillcolor="#FFFF00" filled="t" stroked="f" coordsize="21600,21600" adj="10800">
          <v:path/>
          <v:fill on="t" opacity="26214f" focussize="0,0"/>
          <v:stroke on="f"/>
          <v:imagedata o:title=""/>
          <o:lock v:ext="edit" aspectratio="t"/>
          <v:textpath on="t" fitpath="t" trim="t" xscale="f" string="质量是企业的生命" style="font-family:宋体;font-size:80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w:rPr>
        <w:sz w:val="24"/>
      </w:rPr>
      <w:pict>
        <v:shape id="PowerPlusWaterMarkObject201125" o:spid="_x0000_s4104" o:spt="136" type="#_x0000_t136" style="position:absolute;left:0pt;height:80.5pt;width:564.9pt;mso-position-horizontal:center;mso-position-horizontal-relative:margin;mso-position-vertical:center;mso-position-vertical-relative:margin;rotation:-2949120f;z-index:-251648000;mso-width-relative:page;mso-height-relative:page;" fillcolor="#FFFF00" filled="t" stroked="f" coordsize="21600,21600" adj="10800">
          <v:path/>
          <v:fill on="t" opacity="26214f" focussize="0,0"/>
          <v:stroke on="f"/>
          <v:imagedata o:title=""/>
          <o:lock v:ext="edit" aspectratio="t"/>
          <v:textpath on="t" fitpath="t" trim="t" xscale="f" string="质量是企业的生命" style="font-family:宋体;font-size:80pt;v-same-letter-heights:f;v-text-align:center;"/>
        </v:shape>
      </w:pict>
    </w:r>
    <w:r>
      <w:rPr>
        <w:rFonts w:ascii="宋体" w:hAnsi="宋体" w:eastAsia="宋体" w:cs="宋体"/>
        <w:kern w:val="0"/>
        <w:sz w:val="24"/>
        <w:szCs w:val="24"/>
      </w:rPr>
      <w:t>质量管理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9C0AA0"/>
    <w:multiLevelType w:val="singleLevel"/>
    <w:tmpl w:val="BB9C0AA0"/>
    <w:lvl w:ilvl="0" w:tentative="0">
      <w:start w:val="1"/>
      <w:numFmt w:val="bullet"/>
      <w:lvlText w:val=""/>
      <w:lvlJc w:val="left"/>
      <w:pPr>
        <w:ind w:left="420" w:hanging="420"/>
      </w:pPr>
      <w:rPr>
        <w:rFonts w:hint="default" w:ascii="Wingdings" w:hAnsi="Wingdings"/>
      </w:rPr>
    </w:lvl>
  </w:abstractNum>
  <w:abstractNum w:abstractNumId="1">
    <w:nsid w:val="F7332D5D"/>
    <w:multiLevelType w:val="singleLevel"/>
    <w:tmpl w:val="F7332D5D"/>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2CE"/>
    <w:rsid w:val="00024934"/>
    <w:rsid w:val="00195948"/>
    <w:rsid w:val="001B16C1"/>
    <w:rsid w:val="00630926"/>
    <w:rsid w:val="00742276"/>
    <w:rsid w:val="007922CE"/>
    <w:rsid w:val="00AE2848"/>
    <w:rsid w:val="00BB0038"/>
    <w:rsid w:val="049379B4"/>
    <w:rsid w:val="082D33AE"/>
    <w:rsid w:val="0E7157DA"/>
    <w:rsid w:val="346F5646"/>
    <w:rsid w:val="44CE7628"/>
    <w:rsid w:val="452F4918"/>
    <w:rsid w:val="4D950CEA"/>
    <w:rsid w:val="50D91D9C"/>
    <w:rsid w:val="513F6340"/>
    <w:rsid w:val="580F0297"/>
    <w:rsid w:val="59496F5A"/>
    <w:rsid w:val="68343B1B"/>
    <w:rsid w:val="6BA60BF1"/>
    <w:rsid w:val="7010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semiHidden/>
    <w:unhideWhenUsed/>
    <w:qFormat/>
    <w:uiPriority w:val="39"/>
    <w:pPr>
      <w:ind w:left="420" w:leftChars="200"/>
    </w:p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103"/>
    <customShpInfo spid="_x0000_s4104"/>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756</Words>
  <Characters>4310</Characters>
  <Lines>35</Lines>
  <Paragraphs>10</Paragraphs>
  <TotalTime>23</TotalTime>
  <ScaleCrop>false</ScaleCrop>
  <LinksUpToDate>false</LinksUpToDate>
  <CharactersWithSpaces>5056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2014-06-04T14:05:00Z</dcterms:created>
  <dc:creator>pqk</dc:creator>
  <cp:lastModifiedBy>朱爱彬</cp:lastModifiedBy>
  <dcterms:modified xsi:type="dcterms:W3CDTF">2020-12-25T02:54:47Z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